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06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D3094">
        <w:trPr>
          <w:tblCellSpacing w:w="0" w:type="dxa"/>
          <w:jc w:val="center"/>
        </w:trPr>
        <w:tc>
          <w:tcPr>
            <w:tcW w:w="8306" w:type="dxa"/>
            <w:vAlign w:val="center"/>
          </w:tcPr>
          <w:p w:rsidR="00E834E4" w:rsidRDefault="00E834E4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Verdana" w:eastAsia="宋体" w:hAnsi="Verdana" w:cs="宋体" w:hint="eastAsia"/>
                <w:b/>
                <w:bCs/>
                <w:color w:val="333333"/>
                <w:kern w:val="36"/>
                <w:sz w:val="32"/>
                <w:szCs w:val="32"/>
              </w:rPr>
            </w:pPr>
            <w:r w:rsidRPr="00E834E4">
              <w:rPr>
                <w:rFonts w:ascii="Verdana" w:eastAsia="宋体" w:hAnsi="Verdana" w:cs="宋体" w:hint="eastAsia"/>
                <w:b/>
                <w:bCs/>
                <w:color w:val="333333"/>
                <w:kern w:val="36"/>
                <w:sz w:val="32"/>
                <w:szCs w:val="32"/>
              </w:rPr>
              <w:t>首都经济贸易大学</w:t>
            </w:r>
          </w:p>
          <w:p w:rsidR="005D3094" w:rsidRDefault="00E834E4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Verdana" w:eastAsia="宋体" w:hAnsi="Verdana" w:cs="宋体"/>
                <w:b/>
                <w:bCs/>
                <w:color w:val="333333"/>
                <w:kern w:val="36"/>
                <w:sz w:val="44"/>
                <w:szCs w:val="44"/>
              </w:rPr>
            </w:pPr>
            <w:bookmarkStart w:id="0" w:name="_GoBack"/>
            <w:bookmarkEnd w:id="0"/>
            <w:r w:rsidRPr="00E834E4">
              <w:rPr>
                <w:rFonts w:ascii="Verdana" w:eastAsia="宋体" w:hAnsi="Verdana" w:cs="宋体" w:hint="eastAsia"/>
                <w:b/>
                <w:bCs/>
                <w:color w:val="333333"/>
                <w:kern w:val="36"/>
                <w:sz w:val="32"/>
                <w:szCs w:val="32"/>
              </w:rPr>
              <w:t>201</w:t>
            </w:r>
            <w:r>
              <w:rPr>
                <w:rFonts w:ascii="Verdana" w:eastAsia="宋体" w:hAnsi="Verdana" w:cs="宋体" w:hint="eastAsia"/>
                <w:b/>
                <w:bCs/>
                <w:color w:val="333333"/>
                <w:kern w:val="36"/>
                <w:sz w:val="32"/>
                <w:szCs w:val="32"/>
              </w:rPr>
              <w:t>8</w:t>
            </w:r>
            <w:r w:rsidRPr="00E834E4">
              <w:rPr>
                <w:rFonts w:ascii="Verdana" w:eastAsia="宋体" w:hAnsi="Verdana" w:cs="宋体" w:hint="eastAsia"/>
                <w:b/>
                <w:bCs/>
                <w:color w:val="333333"/>
                <w:kern w:val="36"/>
                <w:sz w:val="32"/>
                <w:szCs w:val="32"/>
              </w:rPr>
              <w:t>年公共管理硕士（</w:t>
            </w:r>
            <w:r w:rsidRPr="00E834E4">
              <w:rPr>
                <w:rFonts w:ascii="Verdana" w:eastAsia="宋体" w:hAnsi="Verdana" w:cs="宋体" w:hint="eastAsia"/>
                <w:b/>
                <w:bCs/>
                <w:color w:val="333333"/>
                <w:kern w:val="36"/>
                <w:sz w:val="32"/>
                <w:szCs w:val="32"/>
              </w:rPr>
              <w:t>MPA</w:t>
            </w:r>
            <w:r w:rsidRPr="00E834E4">
              <w:rPr>
                <w:rFonts w:ascii="Verdana" w:eastAsia="宋体" w:hAnsi="Verdana" w:cs="宋体" w:hint="eastAsia"/>
                <w:b/>
                <w:bCs/>
                <w:color w:val="333333"/>
                <w:kern w:val="36"/>
                <w:sz w:val="32"/>
                <w:szCs w:val="32"/>
              </w:rPr>
              <w:t>）招生简章</w:t>
            </w:r>
          </w:p>
        </w:tc>
      </w:tr>
      <w:tr w:rsidR="005D3094">
        <w:trPr>
          <w:tblCellSpacing w:w="0" w:type="dxa"/>
          <w:jc w:val="center"/>
        </w:trPr>
        <w:tc>
          <w:tcPr>
            <w:tcW w:w="8306" w:type="dxa"/>
            <w:vAlign w:val="center"/>
          </w:tcPr>
          <w:p w:rsidR="005D3094" w:rsidRDefault="005D3094">
            <w:pPr>
              <w:widowControl/>
              <w:spacing w:before="100" w:beforeAutospacing="1" w:after="100" w:afterAutospacing="1"/>
              <w:outlineLvl w:val="0"/>
              <w:rPr>
                <w:rFonts w:ascii="Verdana" w:eastAsia="宋体" w:hAnsi="Verdana" w:cs="宋体"/>
                <w:b/>
                <w:bCs/>
                <w:color w:val="333333"/>
                <w:kern w:val="36"/>
                <w:sz w:val="44"/>
                <w:szCs w:val="44"/>
              </w:rPr>
            </w:pPr>
          </w:p>
        </w:tc>
      </w:tr>
    </w:tbl>
    <w:p w:rsidR="005D3094" w:rsidRDefault="005D3094">
      <w:pPr>
        <w:widowControl/>
        <w:jc w:val="left"/>
        <w:rPr>
          <w:rFonts w:ascii="Verdana" w:eastAsia="宋体" w:hAnsi="Verdana" w:cs="宋体"/>
          <w:vanish/>
          <w:color w:val="333333"/>
          <w:kern w:val="0"/>
          <w:sz w:val="18"/>
          <w:szCs w:val="18"/>
        </w:rPr>
      </w:pPr>
    </w:p>
    <w:tbl>
      <w:tblPr>
        <w:tblW w:w="830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D3094" w:rsidTr="00F46112">
        <w:trPr>
          <w:tblCellSpacing w:w="0" w:type="dxa"/>
        </w:trPr>
        <w:tc>
          <w:tcPr>
            <w:tcW w:w="8306" w:type="dxa"/>
            <w:vAlign w:val="center"/>
          </w:tcPr>
          <w:p w:rsidR="005D3094" w:rsidRDefault="003C2AAE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5D3094" w:rsidRDefault="003C2AAE" w:rsidP="00F46112">
            <w:pPr>
              <w:widowControl/>
              <w:spacing w:line="360" w:lineRule="auto"/>
              <w:ind w:firstLineChars="200" w:firstLine="480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首都经济贸易大学公共管理学科历史积淀深厚，专业实力较强，办学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优势明显，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特色鲜明。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负责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教育的城市经济与公共管理学院，专注于为北京等大都市的可持续发展提供智力服务，拥有区域经济、城市经济与战略管理</w:t>
            </w:r>
            <w:r w:rsidR="00F46112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两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个博士点和公共管理一级学科（含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）硕士学位授予权，是国内最早设立工商行政管理专业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最早研究城市经济管理与土地开发的学院。在城市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与</w:t>
            </w:r>
            <w:r w:rsidR="003E0290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区域经济管理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="003E0290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工商行政与市场监督管理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土地资源与房地产开发管理、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教育经济与管理、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非营利组织管理等研究、培训和决策咨询领域具有明显优势，承担着国家与北京市等多项政府招标或委托的重大课题，主办有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土地利用与住房保障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”“科学监管与监管科学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”“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城市国际化论坛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和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首都圈高层发展论坛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等年度学术论坛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与</w:t>
            </w:r>
            <w:proofErr w:type="gramStart"/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国家发改委</w:t>
            </w:r>
            <w:proofErr w:type="gramEnd"/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、国家工商总局、人力资源与社会保障部、住房与建设部、国土资源部、北京市委市政府及下属各委办局合作关系密切，为国家培养了大批优秀公务员和高级管理人才。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全院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在校本科生近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800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人，硕博研究生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200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余人。</w:t>
            </w:r>
          </w:p>
          <w:p w:rsidR="005D3094" w:rsidRDefault="003C2AAE" w:rsidP="00F46112">
            <w:pPr>
              <w:widowControl/>
              <w:wordWrap w:val="0"/>
              <w:spacing w:line="360" w:lineRule="auto"/>
              <w:ind w:firstLine="480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我校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教育立足于经济行政和政府管理学科传统，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充分利用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公共管理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区域经济、土地资源、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城市经济、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房地产管理等学科整合优势，依托国家级重点学科（劳动经济）、北京市重点学科（区域经济）、北京市重点建设学科（行政管理、社会保障），利用独特的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经管交叉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”“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服务都市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”“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北京特色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的学术资源和师资优势，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致力于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理论功底与实践能力并重、国际经验与国内状况相结合的培养特色，精心打造具有都市公共管理特色的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品牌。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教育拥有一支结构合理、年富力强、视野开阔、兼具学术研究、应用研究风格和注重实践经验的师资队伍，既有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曾经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在政府部门、企业担任管理职务的专职教授，又有来自政府和非政府公共部门的特聘教授和兼职导师，以及海外留学归来的学科骨干和特聘讲座教授。为推进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教育的国际化，学校正积极与美国印第安那普度大学、马里兰大学、克利夫兰大学等著名大学签署合作协议，促进与美国、加拿大、日本等国家及香港、台湾等地大学的合作项目。</w:t>
            </w:r>
          </w:p>
          <w:p w:rsidR="005D3094" w:rsidRDefault="003C2AAE" w:rsidP="00F46112">
            <w:pPr>
              <w:widowControl/>
              <w:spacing w:line="360" w:lineRule="auto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lastRenderedPageBreak/>
              <w:t xml:space="preserve">　　学校成功获批教育部经济与管理实验教学中心、北京市管理科学与工程实验教学中心、北京市经济社会发展政策研究基地、北京市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CBD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发展研究基地、北京市社会科学与自然科学协同创新研究基地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中国特色世界城市研究基地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，并合作创设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天津滨海新区产学研基地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科技创新和教学实践平台，获批了北京市高校国内外联合研究生培养基地。与北京市政府、中国社会科学研究院联合成立特大</w:t>
            </w:r>
            <w:r w:rsidR="00F178EF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城市经济社会发展研究院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，全力打造城市研究的</w:t>
            </w:r>
            <w:r w:rsidR="00F178EF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国家级研究创新基地</w:t>
            </w:r>
            <w:r w:rsidR="003E0290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，与一大批政府机关、企事业等开展深度合作，签署校外导师聘任协议，为我校的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特色教学服务。</w:t>
            </w:r>
          </w:p>
          <w:p w:rsidR="005D3094" w:rsidRDefault="003C2AAE" w:rsidP="00F46112">
            <w:pPr>
              <w:widowControl/>
              <w:wordWrap w:val="0"/>
              <w:spacing w:line="360" w:lineRule="auto"/>
              <w:ind w:firstLine="472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一、培养目标</w:t>
            </w:r>
          </w:p>
          <w:p w:rsidR="005D3094" w:rsidRDefault="003C2AAE" w:rsidP="00F46112">
            <w:pPr>
              <w:widowControl/>
              <w:wordWrap w:val="0"/>
              <w:spacing w:line="360" w:lineRule="auto"/>
              <w:ind w:firstLine="480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贯彻学校</w:t>
            </w:r>
            <w:r w:rsidR="00F46112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立足首都、面向全国、放眼世界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的办学宗旨，从经济类院校特点和城市社会经济发展需要出发，致力于培养具有国际视野、现代管理理念、公民社会服务意识和战略思维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的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公共部门管理精英，培养懂经济、会管理、重实践、高素质的高层次、复合型、应用型公共管理人才。</w:t>
            </w:r>
          </w:p>
          <w:p w:rsidR="005D3094" w:rsidRDefault="003C2AAE" w:rsidP="00F46112">
            <w:pPr>
              <w:widowControl/>
              <w:wordWrap w:val="0"/>
              <w:spacing w:line="360" w:lineRule="auto"/>
              <w:ind w:firstLine="472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二、课程设置</w:t>
            </w:r>
          </w:p>
          <w:p w:rsidR="005D3094" w:rsidRDefault="003C2AAE" w:rsidP="00F46112">
            <w:pPr>
              <w:widowControl/>
              <w:wordWrap w:val="0"/>
              <w:spacing w:line="360" w:lineRule="auto"/>
              <w:ind w:firstLine="480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按照全国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教育指导委员会的要求，分为主干核心课程和模块化主修方向课程。其中核心课程讲授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学生必须掌握的基础知识和技能，提升学生运用核心概念、理论、方法、工具解决现实难题</w:t>
            </w:r>
            <w:r w:rsidR="004E6E0B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的</w:t>
            </w:r>
            <w:r w:rsidR="004E6E0B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能力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。主修方向课程突出不同管理领域内的专业知识技能，为学生根据个人兴趣和社会需求自行选择课程创造条件，提升职业发展能力。</w:t>
            </w:r>
          </w:p>
          <w:p w:rsidR="005D3094" w:rsidRDefault="003C2AAE">
            <w:pPr>
              <w:widowControl/>
              <w:wordWrap w:val="0"/>
              <w:spacing w:line="360" w:lineRule="auto"/>
              <w:ind w:firstLine="472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三、课程优势</w:t>
            </w:r>
          </w:p>
          <w:p w:rsidR="005D3094" w:rsidRDefault="003C2AAE" w:rsidP="00F46112">
            <w:pPr>
              <w:widowControl/>
              <w:spacing w:line="360" w:lineRule="auto"/>
              <w:ind w:firstLine="480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核心课程试行课程组、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AB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角制度，每门核心课都由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名或以上教师担任主讲。充分发挥我校立足首都和服务都市的两大资源优势，采用理论讲授、案例分析、情景模拟、专题讨论、社会调查、沙盘推演、特色论坛、实验演练等多种教学方式；注重学生职业发展规划和研究方向结合、理论学习和实践调研结合、知识掌握与解决问题结合；充分重视教学环节和管理环节的精心设计和严格管理，从而使学生真正掌握本专业的知识、方法和技能，具备从事相应专业管理的能力。</w:t>
            </w:r>
          </w:p>
          <w:p w:rsidR="005D3094" w:rsidRDefault="003C2AAE" w:rsidP="00F46112">
            <w:pPr>
              <w:widowControl/>
              <w:wordWrap w:val="0"/>
              <w:spacing w:line="360" w:lineRule="auto"/>
              <w:ind w:firstLine="480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为培养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学生的实际管理能力和解决城市复杂系统问题能力，学校提供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3D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虚拟仿真、数字城市、城市运行与应急管理、国际会议模拟演练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大教学实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lastRenderedPageBreak/>
              <w:t>验系统。在国家工商管理系统、国家土地资源管理系统、房地产管理系统和行业、京津</w:t>
            </w:r>
            <w:proofErr w:type="gramStart"/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冀城</w:t>
            </w:r>
            <w:proofErr w:type="gramEnd"/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市综合管理规划部门、北京市及所属区县部分政府机关、事业单位建立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17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个联合培养实习实践基地。</w:t>
            </w:r>
          </w:p>
          <w:p w:rsidR="005D3094" w:rsidRDefault="003C2AAE">
            <w:pPr>
              <w:widowControl/>
              <w:wordWrap w:val="0"/>
              <w:spacing w:line="360" w:lineRule="auto"/>
              <w:ind w:firstLine="472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四、研究方向</w:t>
            </w:r>
          </w:p>
          <w:p w:rsidR="005D3094" w:rsidRDefault="003C2AAE" w:rsidP="00F46112">
            <w:pPr>
              <w:widowControl/>
              <w:spacing w:line="360" w:lineRule="auto"/>
              <w:ind w:firstLine="480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学生可根据自己的意愿选择专业研究方向，如政府监管、经济行政管理、公共部门人力资源管理、公共政策分析</w:t>
            </w:r>
            <w:r w:rsidR="004E6E0B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与评价、社会保障、城市与区域规划、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土地利用与</w:t>
            </w:r>
            <w:r w:rsidR="004E6E0B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房地产开发管理、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京津冀协同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治理</w:t>
            </w:r>
            <w:r w:rsidR="004E6E0B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、城市国际化战略管理等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。</w:t>
            </w:r>
          </w:p>
          <w:p w:rsidR="005D3094" w:rsidRDefault="003C2AAE">
            <w:pPr>
              <w:widowControl/>
              <w:wordWrap w:val="0"/>
              <w:spacing w:line="360" w:lineRule="auto"/>
              <w:ind w:firstLine="472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五、师资力量</w:t>
            </w:r>
          </w:p>
          <w:p w:rsidR="005D3094" w:rsidRDefault="003C2AAE" w:rsidP="00F46112">
            <w:pPr>
              <w:widowControl/>
              <w:spacing w:line="360" w:lineRule="auto"/>
              <w:ind w:firstLine="480"/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项目认真遴选优秀教师担任任课教师，核心课专职教师中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93.9%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具有高级职称，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80%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以上拥有博士学位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；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兼职指导教师为政府部门或非政府公共机构的高层官员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领导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经验丰富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研究能力强。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包括：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国家工商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行政管理总局消费者权益保护局杨红灿局长、北京市政协科技委员会主任申建军研究员、北京市教育工会主席史利国研究员、北京印刷学院原院长曲德森教授、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北京市市委研究室副主任余钟夫研究员</w:t>
            </w:r>
            <w:r w:rsidR="004E6E0B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、北京市</w:t>
            </w:r>
            <w:r w:rsidR="004E6E0B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城市</w:t>
            </w:r>
            <w:r w:rsidR="004E6E0B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管理委员会副主任李如刚研究员、北京市城</w:t>
            </w:r>
            <w:r w:rsidR="004E6E0B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市</w:t>
            </w:r>
            <w:r w:rsidR="004E6E0B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管理综合行政执法局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副局长王连峰研究员、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丰台区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经济和信息化委员会主任</w:t>
            </w:r>
            <w:proofErr w:type="gramStart"/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吴神赋</w:t>
            </w:r>
            <w:proofErr w:type="gramEnd"/>
            <w:r w:rsidR="00F46112"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研究员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等一批有政府、行业协会和企业管理经验的知名人士。</w:t>
            </w:r>
          </w:p>
          <w:p w:rsidR="005D3094" w:rsidRDefault="003C2AAE">
            <w:pPr>
              <w:widowControl/>
              <w:wordWrap w:val="0"/>
              <w:spacing w:line="360" w:lineRule="auto"/>
              <w:ind w:firstLine="472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六、报考条件</w:t>
            </w:r>
          </w:p>
          <w:p w:rsidR="005D3094" w:rsidRDefault="003C2AAE">
            <w:pPr>
              <w:widowControl/>
              <w:spacing w:line="360" w:lineRule="auto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．中华人民共和国公民；</w:t>
            </w:r>
          </w:p>
          <w:p w:rsidR="005D3094" w:rsidRDefault="003C2AAE">
            <w:pPr>
              <w:widowControl/>
              <w:spacing w:line="360" w:lineRule="auto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．拥护中国共产党的领导，品德良好，遵纪守法；</w:t>
            </w:r>
          </w:p>
          <w:p w:rsidR="005D3094" w:rsidRDefault="003C2AAE">
            <w:pPr>
              <w:widowControl/>
              <w:spacing w:line="360" w:lineRule="auto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．考生的学历必须符合下列条件之一：</w:t>
            </w:r>
          </w:p>
          <w:p w:rsidR="005D3094" w:rsidRDefault="003C2AAE">
            <w:pPr>
              <w:widowControl/>
              <w:spacing w:line="360" w:lineRule="auto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）大学本科毕业后有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年或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年以上工作经验的人员（到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日）；</w:t>
            </w:r>
          </w:p>
          <w:p w:rsidR="005D3094" w:rsidRDefault="003C2AAE">
            <w:pPr>
              <w:widowControl/>
              <w:spacing w:line="360" w:lineRule="auto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）已获硕士学位或博士学位并有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年或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年以上工作经验的人员（到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日）；</w:t>
            </w:r>
          </w:p>
          <w:p w:rsidR="005D3094" w:rsidRDefault="003C2AAE">
            <w:pPr>
              <w:widowControl/>
              <w:spacing w:line="360" w:lineRule="auto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）获得国家承认的高职高专毕业学历后，有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年或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年以上工作经验（到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日），达到与大学本科毕业生同等学力的人员；</w:t>
            </w:r>
          </w:p>
          <w:p w:rsidR="005D3094" w:rsidRDefault="003C2AAE">
            <w:pPr>
              <w:widowControl/>
              <w:snapToGrid w:val="0"/>
              <w:spacing w:line="360" w:lineRule="auto"/>
              <w:ind w:firstLine="60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）党校本科学历除中央党校成人教育学院本科学历外，其余的党校本科学历不能报考；</w:t>
            </w:r>
          </w:p>
          <w:p w:rsidR="005D3094" w:rsidRDefault="003C2AAE">
            <w:pPr>
              <w:widowControl/>
              <w:snapToGrid w:val="0"/>
              <w:spacing w:line="360" w:lineRule="auto"/>
              <w:ind w:firstLine="60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）在境外获得的学历证书须通过教育部留学服务中心的认证；</w:t>
            </w:r>
          </w:p>
          <w:p w:rsidR="005D3094" w:rsidRDefault="003C2AAE">
            <w:pPr>
              <w:widowControl/>
              <w:snapToGrid w:val="0"/>
              <w:spacing w:line="360" w:lineRule="auto"/>
              <w:ind w:firstLine="60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lastRenderedPageBreak/>
              <w:t>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）现役军人考生，按解放军总政治部的规定办理。</w:t>
            </w:r>
          </w:p>
          <w:p w:rsidR="005D3094" w:rsidRDefault="003C2AAE" w:rsidP="003C2AAE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textAlignment w:val="top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．身体健康状况符合国家和我校规定的体检要求。</w:t>
            </w:r>
          </w:p>
          <w:p w:rsidR="005D3094" w:rsidRDefault="003C2AAE">
            <w:pPr>
              <w:widowControl/>
              <w:wordWrap w:val="0"/>
              <w:spacing w:line="360" w:lineRule="auto"/>
              <w:ind w:firstLine="354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七、考试科目和参考用书</w:t>
            </w:r>
          </w:p>
          <w:p w:rsidR="005D3094" w:rsidRDefault="003C2AAE">
            <w:pPr>
              <w:widowControl/>
              <w:snapToGrid w:val="0"/>
              <w:spacing w:line="400" w:lineRule="atLeast"/>
              <w:ind w:firstLine="434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初试按</w:t>
            </w:r>
            <w:proofErr w:type="gramEnd"/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教育部规定，全国统考。初试科目：管理类联考综合能力（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200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分），英语二（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100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分）。考试大纲为教育部高校学生司、国务院学位委员会办公室等联合制定的《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MBA/MPA/MPACC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联考考试大纲》、《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MBA/MPA/MPACC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联考辅导教材》（机械工业出版社出版）</w:t>
            </w:r>
          </w:p>
          <w:p w:rsidR="005D3094" w:rsidRDefault="003C2AAE">
            <w:pPr>
              <w:widowControl/>
              <w:snapToGrid w:val="0"/>
              <w:spacing w:line="400" w:lineRule="atLeast"/>
              <w:ind w:firstLine="434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复试由首都经济贸易大学组织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，实行差额复试。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复试包括笔试、面试和体检。复试内容：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政治与时事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、英语、专业知识、心理测评。</w:t>
            </w:r>
          </w:p>
          <w:p w:rsidR="005D3094" w:rsidRDefault="003C2AAE">
            <w:pPr>
              <w:widowControl/>
              <w:wordWrap w:val="0"/>
              <w:spacing w:line="360" w:lineRule="auto"/>
              <w:ind w:firstLine="59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八、录取</w:t>
            </w:r>
            <w:r>
              <w:rPr>
                <w:rFonts w:ascii="Verdana" w:eastAsia="宋体" w:hAnsi="Verdana" w:cs="宋体" w:hint="eastAsia"/>
                <w:b/>
                <w:bCs/>
                <w:color w:val="333333"/>
                <w:kern w:val="0"/>
                <w:sz w:val="24"/>
                <w:szCs w:val="24"/>
              </w:rPr>
              <w:t>及</w:t>
            </w:r>
            <w:r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档案关系</w:t>
            </w:r>
          </w:p>
          <w:p w:rsidR="005D3094" w:rsidRPr="003C2AAE" w:rsidRDefault="003C2AAE" w:rsidP="004E6E0B">
            <w:pPr>
              <w:widowControl/>
              <w:snapToGrid w:val="0"/>
              <w:spacing w:line="400" w:lineRule="atLeast"/>
              <w:ind w:firstLine="434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我校根据国家下达的招生计划，按照考生入学考试的成绩（含初试和复试），结合综合素质以及身体健康状况择优录取，优先录取第一志愿考生。考试诚信状况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及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思想品德考核不</w:t>
            </w:r>
            <w:r w:rsidR="004E6E0B"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合格者不予录取。</w:t>
            </w:r>
            <w:r w:rsidRPr="003C2AAE"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我校公共管理硕士学习方式为非全日制，录取类别为定向就业。录取后需提交定向就业协议。</w:t>
            </w:r>
            <w:r w:rsidR="004E6E0B"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考生人事档案不转入我校，</w:t>
            </w:r>
            <w:proofErr w:type="gramStart"/>
            <w:r w:rsidR="004E6E0B"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不</w:t>
            </w:r>
            <w:proofErr w:type="gramEnd"/>
            <w:r w:rsidR="004E6E0B"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转户口</w:t>
            </w:r>
            <w:r w:rsidR="004E6E0B" w:rsidRPr="003C2AAE"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，</w:t>
            </w: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不参加就业派遣。</w:t>
            </w:r>
          </w:p>
          <w:p w:rsidR="005D3094" w:rsidRDefault="003C2AAE">
            <w:pPr>
              <w:widowControl/>
              <w:wordWrap w:val="0"/>
              <w:spacing w:line="360" w:lineRule="auto"/>
              <w:ind w:firstLine="472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九、学费标准、学习方式及年限</w:t>
            </w:r>
          </w:p>
          <w:p w:rsidR="005D3094" w:rsidRDefault="003C2AAE">
            <w:pPr>
              <w:widowControl/>
              <w:snapToGrid w:val="0"/>
              <w:spacing w:line="400" w:lineRule="atLeast"/>
              <w:ind w:firstLine="434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学费：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42000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元人民币。</w:t>
            </w:r>
          </w:p>
          <w:p w:rsidR="005D3094" w:rsidRPr="003C2AAE" w:rsidRDefault="003C2AAE">
            <w:pPr>
              <w:widowControl/>
              <w:snapToGrid w:val="0"/>
              <w:spacing w:line="400" w:lineRule="atLeast"/>
              <w:ind w:firstLine="434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2.</w:t>
            </w: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学习方式：</w:t>
            </w:r>
            <w:r w:rsidRPr="003C2AAE"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周末授课</w:t>
            </w: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。</w:t>
            </w:r>
          </w:p>
          <w:p w:rsidR="005D3094" w:rsidRPr="003C2AAE" w:rsidRDefault="003C2AAE">
            <w:pPr>
              <w:widowControl/>
              <w:snapToGrid w:val="0"/>
              <w:spacing w:line="400" w:lineRule="atLeast"/>
              <w:ind w:firstLine="434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3.</w:t>
            </w: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学制：</w:t>
            </w:r>
            <w:r w:rsidRPr="003C2AAE"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2.5</w:t>
            </w:r>
            <w:r w:rsidRPr="003C2AAE"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年</w:t>
            </w: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。</w:t>
            </w:r>
          </w:p>
          <w:p w:rsidR="005D3094" w:rsidRDefault="004E6E0B">
            <w:pPr>
              <w:widowControl/>
              <w:wordWrap w:val="0"/>
              <w:spacing w:line="360" w:lineRule="auto"/>
              <w:ind w:firstLine="472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十</w:t>
            </w:r>
            <w:r w:rsidR="003C2AAE">
              <w:rPr>
                <w:rFonts w:ascii="Verdana" w:eastAsia="宋体" w:hAnsi="Verdana" w:cs="宋体"/>
                <w:b/>
                <w:bCs/>
                <w:color w:val="333333"/>
                <w:kern w:val="0"/>
                <w:sz w:val="24"/>
                <w:szCs w:val="24"/>
              </w:rPr>
              <w:t>、报考事宜</w:t>
            </w:r>
          </w:p>
          <w:p w:rsidR="005D3094" w:rsidRDefault="003C2AAE">
            <w:pPr>
              <w:widowControl/>
              <w:wordWrap w:val="0"/>
              <w:spacing w:line="360" w:lineRule="auto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具体报考条件、流程和规定请关注首都经济贸易大学研究生</w:t>
            </w:r>
            <w:proofErr w:type="gramStart"/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招生网</w:t>
            </w:r>
            <w:proofErr w:type="gramEnd"/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或与首都经济贸易大学城市经济与公共管理学院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MPA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24"/>
                <w:szCs w:val="24"/>
              </w:rPr>
              <w:t>教育中心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联系。</w:t>
            </w:r>
          </w:p>
          <w:p w:rsidR="005D3094" w:rsidRPr="003C2AAE" w:rsidRDefault="003C2AAE">
            <w:pPr>
              <w:widowControl/>
              <w:wordWrap w:val="0"/>
              <w:spacing w:line="360" w:lineRule="auto"/>
              <w:ind w:firstLine="48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咨询电话：</w:t>
            </w: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010-8395</w:t>
            </w:r>
            <w:r w:rsidRPr="003C2AAE"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1563</w:t>
            </w: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 xml:space="preserve"> </w:t>
            </w:r>
          </w:p>
          <w:p w:rsidR="005D3094" w:rsidRPr="003C2AAE" w:rsidRDefault="003C2AAE">
            <w:pPr>
              <w:widowControl/>
              <w:wordWrap w:val="0"/>
              <w:spacing w:line="360" w:lineRule="auto"/>
              <w:ind w:firstLine="48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Email</w:t>
            </w: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：</w:t>
            </w:r>
            <w:r w:rsidRPr="003C2AAE">
              <w:rPr>
                <w:rFonts w:ascii="Verdana" w:eastAsia="宋体" w:hAnsi="Verdana" w:cs="宋体" w:hint="eastAsia"/>
                <w:kern w:val="0"/>
                <w:sz w:val="24"/>
                <w:szCs w:val="24"/>
              </w:rPr>
              <w:t>MPAzhaosheng</w:t>
            </w:r>
            <w:r w:rsidRPr="003C2AAE">
              <w:rPr>
                <w:rFonts w:ascii="Verdana" w:eastAsia="宋体" w:hAnsi="Verdana" w:cs="宋体"/>
                <w:kern w:val="0"/>
                <w:sz w:val="24"/>
                <w:szCs w:val="24"/>
              </w:rPr>
              <w:t>@cueb.edu.cn</w:t>
            </w:r>
          </w:p>
          <w:p w:rsidR="005D3094" w:rsidRDefault="003C2AAE">
            <w:pPr>
              <w:widowControl/>
              <w:wordWrap w:val="0"/>
              <w:spacing w:line="360" w:lineRule="auto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通讯地址：北京丰台区张家路口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121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号首都经济贸易大学校本部城市经济与公共管理学院</w:t>
            </w:r>
          </w:p>
          <w:p w:rsidR="005D3094" w:rsidRDefault="003C2AAE">
            <w:pPr>
              <w:widowControl/>
              <w:wordWrap w:val="0"/>
              <w:spacing w:line="360" w:lineRule="auto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邮政编码：</w:t>
            </w:r>
            <w:r>
              <w:rPr>
                <w:rFonts w:ascii="Verdana" w:eastAsia="宋体" w:hAnsi="Verdana" w:cs="宋体"/>
                <w:color w:val="333333"/>
                <w:kern w:val="0"/>
                <w:sz w:val="24"/>
                <w:szCs w:val="24"/>
              </w:rPr>
              <w:t>100070</w:t>
            </w:r>
          </w:p>
        </w:tc>
      </w:tr>
    </w:tbl>
    <w:p w:rsidR="005D3094" w:rsidRDefault="005D3094"/>
    <w:p w:rsidR="005D3094" w:rsidRDefault="005D3094"/>
    <w:sectPr w:rsidR="005D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74BB8"/>
    <w:multiLevelType w:val="singleLevel"/>
    <w:tmpl w:val="59B74BB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65"/>
    <w:rsid w:val="003C2AAE"/>
    <w:rsid w:val="003E0290"/>
    <w:rsid w:val="00454EF0"/>
    <w:rsid w:val="004E6E0B"/>
    <w:rsid w:val="005D3094"/>
    <w:rsid w:val="0086029D"/>
    <w:rsid w:val="00A14ECC"/>
    <w:rsid w:val="00DA7D65"/>
    <w:rsid w:val="00E834E4"/>
    <w:rsid w:val="00F178EF"/>
    <w:rsid w:val="00F46112"/>
    <w:rsid w:val="17D2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2644</Characters>
  <Application>Microsoft Office Word</Application>
  <DocSecurity>0</DocSecurity>
  <Lines>22</Lines>
  <Paragraphs>6</Paragraphs>
  <ScaleCrop>false</ScaleCrop>
  <Company>Microsoft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User</cp:lastModifiedBy>
  <cp:revision>3</cp:revision>
  <dcterms:created xsi:type="dcterms:W3CDTF">2018-03-02T01:25:00Z</dcterms:created>
  <dcterms:modified xsi:type="dcterms:W3CDTF">2018-03-02T01:25:00Z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