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中共首都经济贸易大学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城市经济与公共管理学院委员会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关于成立党校分校的实施方案</w:t>
      </w:r>
    </w:p>
    <w:p>
      <w:pPr>
        <w:spacing w:line="0" w:lineRule="atLeast"/>
        <w:jc w:val="left"/>
        <w:rPr>
          <w:rFonts w:ascii="仿宋_GB2312" w:hAnsi="华文中宋" w:eastAsia="仿宋_GB2312"/>
          <w:b/>
          <w:sz w:val="32"/>
          <w:szCs w:val="32"/>
        </w:rPr>
      </w:pPr>
    </w:p>
    <w:p>
      <w:pPr>
        <w:spacing w:line="240" w:lineRule="auto"/>
        <w:ind w:firstLine="560" w:firstLineChars="200"/>
        <w:jc w:val="left"/>
        <w:rPr>
          <w:rFonts w:ascii="仿宋" w:hAnsi="仿宋" w:eastAsia="仿宋" w:cs="Arial Unicode MS"/>
          <w:spacing w:val="-2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根据《中国共产党党校工作暂行条例》《北京普通高等学校党校工作细则》和《中共首都经济贸易大学委员会党校章程》(首经贸党发[2013]34号)的有关规定，结合我院学生特点，为进一步做好入党积极分子和党员的培训工作，提高党校教育的实效性，城市经济与公共管理学院党委决定成立党校分校(以下简称“分党校”)，为做好有关工作，特制定如下方案。</w:t>
      </w:r>
    </w:p>
    <w:p>
      <w:pPr>
        <w:spacing w:line="0" w:lineRule="atLeast"/>
        <w:rPr>
          <w:rFonts w:ascii="仿宋" w:hAnsi="仿宋" w:eastAsia="仿宋" w:cs="Arial Unicode MS"/>
          <w:spacing w:val="-2"/>
          <w:sz w:val="24"/>
          <w:szCs w:val="24"/>
        </w:rPr>
      </w:pPr>
    </w:p>
    <w:p>
      <w:pPr>
        <w:spacing w:line="0" w:lineRule="atLeast"/>
        <w:rPr>
          <w:rFonts w:hint="eastAsia" w:ascii="黑体" w:hAnsi="黑体" w:eastAsia="黑体" w:cs="黑体"/>
          <w:b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>一、设置</w:t>
      </w:r>
    </w:p>
    <w:p>
      <w:pPr>
        <w:spacing w:line="0" w:lineRule="atLeast"/>
        <w:ind w:left="13" w:right="86" w:firstLine="482" w:firstLineChars="200"/>
        <w:rPr>
          <w:rFonts w:ascii="仿宋_GB2312" w:hAnsi="宋体" w:eastAsia="仿宋_GB2312"/>
          <w:b/>
          <w:bCs/>
          <w:kern w:val="0"/>
          <w:sz w:val="24"/>
          <w:szCs w:val="28"/>
        </w:rPr>
      </w:pPr>
    </w:p>
    <w:p>
      <w:pPr>
        <w:spacing w:line="240" w:lineRule="auto"/>
        <w:ind w:left="13" w:right="86" w:firstLine="562" w:firstLineChars="20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（一）</w:t>
      </w:r>
      <w:r>
        <w:rPr>
          <w:rFonts w:hint="eastAsia" w:ascii="仿宋_GB2312" w:hAnsi="宋体" w:eastAsia="仿宋_GB2312"/>
          <w:kern w:val="0"/>
          <w:sz w:val="28"/>
          <w:szCs w:val="28"/>
        </w:rPr>
        <w:t>分党校在学校党校和学院党委的双重领导下开展工作，由学院党委负责日常教学管理，并接受学校党校的业务指导和办学监督。</w:t>
      </w:r>
    </w:p>
    <w:p>
      <w:pPr>
        <w:spacing w:line="360" w:lineRule="auto"/>
        <w:ind w:right="91" w:firstLine="562" w:firstLineChars="20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（二）</w:t>
      </w:r>
      <w:r>
        <w:rPr>
          <w:rFonts w:hint="eastAsia" w:ascii="仿宋_GB2312" w:hAnsi="宋体" w:eastAsia="仿宋_GB2312"/>
          <w:kern w:val="0"/>
          <w:sz w:val="28"/>
          <w:szCs w:val="28"/>
        </w:rPr>
        <w:t>师资队伍建设。分党校按照培训任务和培训规划结身实际自行聘请分党校兼职教师。分党校兼职教师应优先从党务工作者、思想政治课专任教师中选聘，也可从党务工作经验丰富的离退休老干部、老党员中、专任教师中选聘。学院党委委员和有条件的辅导员也应承担一部分分党校教学任务。</w:t>
      </w:r>
    </w:p>
    <w:p>
      <w:pPr>
        <w:spacing w:line="0" w:lineRule="atLeast"/>
        <w:ind w:right="91" w:firstLine="480" w:firstLineChars="200"/>
        <w:rPr>
          <w:rFonts w:ascii="仿宋_GB2312" w:hAnsi="宋体" w:eastAsia="仿宋_GB2312"/>
          <w:kern w:val="0"/>
          <w:sz w:val="24"/>
          <w:szCs w:val="28"/>
        </w:rPr>
      </w:pPr>
    </w:p>
    <w:p>
      <w:pPr>
        <w:spacing w:line="0" w:lineRule="atLeast"/>
        <w:rPr>
          <w:rFonts w:hint="eastAsia" w:ascii="黑体" w:hAnsi="黑体" w:eastAsia="黑体" w:cs="黑体"/>
          <w:b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>二、主要任务及职责</w:t>
      </w:r>
    </w:p>
    <w:p>
      <w:pPr>
        <w:spacing w:line="0" w:lineRule="atLeast"/>
        <w:ind w:left="13" w:right="86" w:firstLine="482" w:firstLineChars="200"/>
        <w:rPr>
          <w:rFonts w:ascii="仿宋_GB2312" w:hAnsi="宋体" w:eastAsia="仿宋_GB2312"/>
          <w:b/>
          <w:bCs/>
          <w:kern w:val="0"/>
          <w:sz w:val="24"/>
          <w:szCs w:val="28"/>
        </w:rPr>
      </w:pPr>
    </w:p>
    <w:p>
      <w:pPr>
        <w:spacing w:line="240" w:lineRule="auto"/>
        <w:ind w:left="13" w:right="86" w:firstLine="562" w:firstLineChars="20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（一）</w:t>
      </w:r>
      <w:r>
        <w:rPr>
          <w:rFonts w:hint="eastAsia" w:ascii="仿宋_GB2312" w:hAnsi="宋体" w:eastAsia="仿宋_GB2312"/>
          <w:kern w:val="0"/>
          <w:sz w:val="28"/>
          <w:szCs w:val="28"/>
        </w:rPr>
        <w:t>按照学院党委年度党建工作计划，结合党委党员教育培养工作方案，制定分党校年度培训计划。</w:t>
      </w:r>
    </w:p>
    <w:p>
      <w:pPr>
        <w:spacing w:line="240" w:lineRule="auto"/>
        <w:ind w:left="13" w:right="86" w:firstLine="562" w:firstLineChars="20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（二）</w:t>
      </w:r>
      <w:r>
        <w:rPr>
          <w:rFonts w:hint="eastAsia" w:ascii="仿宋_GB2312" w:hAnsi="宋体" w:eastAsia="仿宋_GB2312"/>
          <w:kern w:val="0"/>
          <w:sz w:val="28"/>
          <w:szCs w:val="28"/>
        </w:rPr>
        <w:t>分党校主要承担本单位党员、发展对象、入党积极分子的培训及入党申请人的培训和考核工作。</w:t>
      </w:r>
    </w:p>
    <w:p>
      <w:pPr>
        <w:spacing w:line="240" w:lineRule="auto"/>
        <w:ind w:left="13" w:right="86" w:firstLine="562" w:firstLineChars="20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（三）</w:t>
      </w:r>
      <w:r>
        <w:rPr>
          <w:rFonts w:hint="eastAsia" w:ascii="仿宋_GB2312" w:hAnsi="宋体" w:eastAsia="仿宋_GB2312"/>
          <w:kern w:val="0"/>
          <w:sz w:val="28"/>
          <w:szCs w:val="28"/>
        </w:rPr>
        <w:t>负责分党校各类培训的管理和考勤工作。分党校应做好培训学员的入学资格审查，建立学员学籍管理，对各类培训班培训名单、培训成绩等应及时报学校党校备案。</w:t>
      </w:r>
    </w:p>
    <w:p>
      <w:pPr>
        <w:spacing w:line="240" w:lineRule="auto"/>
        <w:ind w:left="13" w:right="86" w:firstLine="562" w:firstLineChars="20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（四）</w:t>
      </w:r>
      <w:r>
        <w:rPr>
          <w:rFonts w:hint="eastAsia" w:ascii="仿宋_GB2312" w:hAnsi="宋体" w:eastAsia="仿宋_GB2312"/>
          <w:kern w:val="0"/>
          <w:sz w:val="28"/>
          <w:szCs w:val="28"/>
        </w:rPr>
        <w:t>积极组织开展分党校建设的调查研究工作。针对入党积极分子培养和党员的培养工作，深入开展研究，总结经验，不断创新工作方式方法。</w:t>
      </w:r>
    </w:p>
    <w:p>
      <w:pPr>
        <w:spacing w:line="240" w:lineRule="auto"/>
        <w:ind w:right="86" w:firstLine="562" w:firstLineChars="20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（五）</w:t>
      </w:r>
      <w:r>
        <w:rPr>
          <w:rFonts w:hint="eastAsia" w:ascii="仿宋_GB2312" w:hAnsi="宋体" w:eastAsia="仿宋_GB2312"/>
          <w:kern w:val="0"/>
          <w:sz w:val="28"/>
          <w:szCs w:val="28"/>
        </w:rPr>
        <w:t>完成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分党校</w:t>
      </w:r>
      <w:r>
        <w:rPr>
          <w:rFonts w:hint="eastAsia" w:ascii="仿宋_GB2312" w:hAnsi="宋体" w:eastAsia="仿宋_GB2312"/>
          <w:kern w:val="0"/>
          <w:sz w:val="28"/>
          <w:szCs w:val="28"/>
        </w:rPr>
        <w:t>安排的其他工作。</w:t>
      </w:r>
    </w:p>
    <w:p>
      <w:pPr>
        <w:spacing w:line="0" w:lineRule="atLeast"/>
        <w:rPr>
          <w:rFonts w:ascii="仿宋" w:hAnsi="仿宋" w:eastAsia="仿宋" w:cs="Arial Unicode MS"/>
          <w:sz w:val="24"/>
          <w:szCs w:val="24"/>
        </w:rPr>
      </w:pPr>
    </w:p>
    <w:p>
      <w:pPr>
        <w:spacing w:line="0" w:lineRule="atLeast"/>
        <w:rPr>
          <w:rFonts w:hint="default" w:ascii="黑体" w:hAnsi="黑体" w:eastAsia="黑体" w:cs="黑体"/>
          <w:b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</w:rPr>
        <w:t>三、</w:t>
      </w:r>
      <w: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t>培训安排</w:t>
      </w:r>
    </w:p>
    <w:p>
      <w:pPr>
        <w:spacing w:line="0" w:lineRule="atLeast"/>
        <w:ind w:right="86" w:firstLine="482" w:firstLineChars="200"/>
        <w:jc w:val="left"/>
        <w:rPr>
          <w:rFonts w:ascii="仿宋_GB2312" w:hAnsi="宋体" w:eastAsia="仿宋_GB2312"/>
          <w:b/>
          <w:bCs/>
          <w:kern w:val="0"/>
          <w:sz w:val="24"/>
          <w:szCs w:val="28"/>
        </w:rPr>
      </w:pPr>
    </w:p>
    <w:p>
      <w:pPr>
        <w:spacing w:line="0" w:lineRule="atLeast"/>
        <w:ind w:right="86"/>
        <w:jc w:val="left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(一)培训对象</w:t>
      </w:r>
    </w:p>
    <w:p>
      <w:pPr>
        <w:spacing w:line="240" w:lineRule="auto"/>
        <w:ind w:left="13" w:right="86" w:firstLine="560" w:firstLineChars="20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分党校培训对象包括正式党员、预备党员、发展对象、入党积极分子和入党申请人。</w:t>
      </w:r>
    </w:p>
    <w:p>
      <w:pPr>
        <w:spacing w:line="240" w:lineRule="auto"/>
        <w:ind w:left="13" w:right="86" w:firstLine="560" w:firstLineChars="20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各阶段培训对象均须依照《中国共产党发展党员细则》及《中共首都经济贸易大学委员会发展党员工作实施办法》相关要求确定产生并报学校党校审核备案。</w:t>
      </w:r>
    </w:p>
    <w:p>
      <w:pPr>
        <w:spacing w:line="0" w:lineRule="atLeast"/>
        <w:ind w:right="86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(二)培训方案</w:t>
      </w:r>
    </w:p>
    <w:p>
      <w:pPr>
        <w:spacing w:line="240" w:lineRule="auto"/>
        <w:ind w:left="13" w:right="86" w:firstLine="560" w:firstLineChars="20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根据学校党校和本单位党组织的要求，分党校每学期要召开专门会议研究分党校培训教学工作，制定培训方案，包括教学目的、教学内容、时间安排、培训方式、培训要求、自学书目以及考核办法等。</w:t>
      </w:r>
    </w:p>
    <w:p>
      <w:pPr>
        <w:spacing w:line="0" w:lineRule="atLeast"/>
        <w:ind w:right="86" w:firstLine="562" w:firstLineChars="200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1.培训内容</w:t>
      </w:r>
    </w:p>
    <w:p>
      <w:pPr>
        <w:spacing w:line="240" w:lineRule="auto"/>
        <w:ind w:left="13" w:right="86" w:firstLine="560" w:firstLineChars="20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分党校可根据培训对象和目标自主安排培训内容，同时要紧密联系学员的思想实际、学习实际和工作实际，着力提高学员的思想素质、理论素质和学习实践能力，达到学以致用的目的。</w:t>
      </w:r>
    </w:p>
    <w:p>
      <w:pPr>
        <w:spacing w:line="240" w:lineRule="auto"/>
        <w:ind w:left="13" w:right="86" w:firstLine="560" w:firstLineChars="20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分党校培训内容主要包括：中国共产党党章；马列主义、毛泽东思想、邓小平理论、“三个代表”重要思想、科学发展观及习近平新时代中国特色社会主义思想；党的路线、方针、政策；党的基本知识和基本理论；党性、党风、党纪教育和思想道德教育等内容。</w:t>
      </w:r>
    </w:p>
    <w:p>
      <w:pPr>
        <w:spacing w:line="0" w:lineRule="atLeast"/>
        <w:ind w:right="86" w:firstLine="562" w:firstLineChars="200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2.培训方式</w:t>
      </w:r>
    </w:p>
    <w:p>
      <w:pPr>
        <w:spacing w:line="240" w:lineRule="auto"/>
        <w:ind w:left="13" w:right="86" w:firstLine="560" w:firstLineChars="200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培训应采取集中学习与个人自学相结合，线上学习与面授讲座相结合，系统讲授与专题研讨相结合，理论培训与社会实践相结合等灵活多样的培训形式，保证质量，讲究实效。</w:t>
      </w:r>
    </w:p>
    <w:p>
      <w:pPr>
        <w:spacing w:line="0" w:lineRule="atLeast"/>
        <w:ind w:right="86" w:firstLine="562" w:firstLineChars="200"/>
        <w:rPr>
          <w:rFonts w:ascii="仿宋_GB2312" w:hAnsi="宋体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3.培训学时</w:t>
      </w:r>
    </w:p>
    <w:p>
      <w:pPr>
        <w:spacing w:line="240" w:lineRule="auto"/>
        <w:ind w:left="13" w:right="86" w:firstLine="560" w:firstLineChars="200"/>
        <w:rPr>
          <w:rFonts w:hint="eastAsia" w:ascii="仿宋_GB2312" w:hAnsi="宋体" w:eastAsia="仿宋_GB2312"/>
          <w:kern w:val="0"/>
          <w:sz w:val="30"/>
          <w:szCs w:val="30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学校党校及分党校共同组织承担发展对象、入党积极分子和入党申请人的教育培训工作，各阶段培训对象每学期培训具体安排如下：</w:t>
      </w:r>
    </w:p>
    <w:p>
      <w:pPr>
        <w:spacing w:line="0" w:lineRule="atLeast"/>
        <w:ind w:left="13" w:right="86" w:firstLine="480" w:firstLineChars="200"/>
        <w:rPr>
          <w:rFonts w:ascii="仿宋_GB2312" w:hAnsi="宋体" w:eastAsia="仿宋_GB2312"/>
          <w:kern w:val="0"/>
          <w:sz w:val="24"/>
          <w:szCs w:val="28"/>
        </w:rPr>
      </w:pPr>
    </w:p>
    <w:tbl>
      <w:tblPr>
        <w:tblStyle w:val="11"/>
        <w:tblW w:w="8787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3"/>
        <w:gridCol w:w="1181"/>
        <w:gridCol w:w="1187"/>
        <w:gridCol w:w="1473"/>
        <w:gridCol w:w="1476"/>
        <w:gridCol w:w="14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993" w:type="dxa"/>
            <w:vMerge w:val="restart"/>
            <w:tcBorders>
              <w:bottom w:val="nil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</w:p>
          <w:p>
            <w:pPr>
              <w:spacing w:before="122" w:line="360" w:lineRule="auto"/>
              <w:ind w:left="448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培训对象</w:t>
            </w:r>
          </w:p>
        </w:tc>
        <w:tc>
          <w:tcPr>
            <w:tcW w:w="2368" w:type="dxa"/>
            <w:gridSpan w:val="2"/>
          </w:tcPr>
          <w:p>
            <w:pPr>
              <w:spacing w:before="214" w:line="360" w:lineRule="auto"/>
              <w:ind w:left="770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校党校</w:t>
            </w:r>
          </w:p>
        </w:tc>
        <w:tc>
          <w:tcPr>
            <w:tcW w:w="2949" w:type="dxa"/>
            <w:gridSpan w:val="2"/>
          </w:tcPr>
          <w:p>
            <w:pPr>
              <w:spacing w:before="214" w:line="360" w:lineRule="auto"/>
              <w:ind w:left="1062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分党校</w:t>
            </w:r>
          </w:p>
        </w:tc>
        <w:tc>
          <w:tcPr>
            <w:tcW w:w="1477" w:type="dxa"/>
            <w:vMerge w:val="restart"/>
            <w:tcBorders>
              <w:bottom w:val="nil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</w:p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</w:p>
          <w:p>
            <w:pPr>
              <w:spacing w:before="122" w:line="360" w:lineRule="auto"/>
              <w:ind w:left="469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合计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993" w:type="dxa"/>
            <w:vMerge w:val="continue"/>
            <w:tcBorders>
              <w:top w:val="nil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</w:p>
        </w:tc>
        <w:tc>
          <w:tcPr>
            <w:tcW w:w="1181" w:type="dxa"/>
          </w:tcPr>
          <w:p>
            <w:pPr>
              <w:spacing w:before="208" w:line="360" w:lineRule="auto"/>
              <w:ind w:left="334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线上</w:t>
            </w:r>
          </w:p>
          <w:p>
            <w:pPr>
              <w:spacing w:line="360" w:lineRule="auto"/>
              <w:ind w:left="320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培训</w:t>
            </w:r>
          </w:p>
        </w:tc>
        <w:tc>
          <w:tcPr>
            <w:tcW w:w="1187" w:type="dxa"/>
          </w:tcPr>
          <w:p>
            <w:pPr>
              <w:spacing w:before="208" w:line="360" w:lineRule="auto"/>
              <w:ind w:left="338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线下</w:t>
            </w:r>
          </w:p>
          <w:p>
            <w:pPr>
              <w:spacing w:line="360" w:lineRule="auto"/>
              <w:ind w:left="325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培训</w:t>
            </w:r>
          </w:p>
        </w:tc>
        <w:tc>
          <w:tcPr>
            <w:tcW w:w="1473" w:type="dxa"/>
          </w:tcPr>
          <w:p>
            <w:pPr>
              <w:spacing w:before="208" w:line="360" w:lineRule="auto"/>
              <w:ind w:left="481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线上</w:t>
            </w:r>
          </w:p>
          <w:p>
            <w:pPr>
              <w:spacing w:line="360" w:lineRule="auto"/>
              <w:ind w:left="468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培训</w:t>
            </w:r>
          </w:p>
        </w:tc>
        <w:tc>
          <w:tcPr>
            <w:tcW w:w="1476" w:type="dxa"/>
          </w:tcPr>
          <w:p>
            <w:pPr>
              <w:spacing w:before="208" w:line="360" w:lineRule="auto"/>
              <w:ind w:left="484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线下</w:t>
            </w:r>
          </w:p>
          <w:p>
            <w:pPr>
              <w:spacing w:line="360" w:lineRule="auto"/>
              <w:ind w:left="471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培训</w:t>
            </w:r>
          </w:p>
        </w:tc>
        <w:tc>
          <w:tcPr>
            <w:tcW w:w="1477" w:type="dxa"/>
            <w:vMerge w:val="continue"/>
            <w:tcBorders>
              <w:top w:val="nil"/>
            </w:tcBorders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993" w:type="dxa"/>
          </w:tcPr>
          <w:p>
            <w:pPr>
              <w:spacing w:before="328" w:line="360" w:lineRule="auto"/>
              <w:ind w:left="445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发展对象</w:t>
            </w:r>
          </w:p>
        </w:tc>
        <w:tc>
          <w:tcPr>
            <w:tcW w:w="1181" w:type="dxa"/>
          </w:tcPr>
          <w:p>
            <w:pPr>
              <w:spacing w:before="327" w:line="360" w:lineRule="auto"/>
              <w:ind w:left="536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/</w:t>
            </w:r>
          </w:p>
        </w:tc>
        <w:tc>
          <w:tcPr>
            <w:tcW w:w="1187" w:type="dxa"/>
          </w:tcPr>
          <w:p>
            <w:pPr>
              <w:spacing w:before="327" w:line="360" w:lineRule="auto"/>
              <w:ind w:left="164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16学时</w:t>
            </w:r>
          </w:p>
        </w:tc>
        <w:tc>
          <w:tcPr>
            <w:tcW w:w="1473" w:type="dxa"/>
          </w:tcPr>
          <w:p>
            <w:pPr>
              <w:spacing w:before="327" w:line="360" w:lineRule="auto"/>
              <w:ind w:left="277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≥8学时</w:t>
            </w:r>
          </w:p>
        </w:tc>
        <w:tc>
          <w:tcPr>
            <w:tcW w:w="1476" w:type="dxa"/>
          </w:tcPr>
          <w:p>
            <w:pPr>
              <w:spacing w:before="327" w:line="360" w:lineRule="auto"/>
              <w:ind w:left="281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≥8学时</w:t>
            </w:r>
          </w:p>
        </w:tc>
        <w:tc>
          <w:tcPr>
            <w:tcW w:w="1477" w:type="dxa"/>
          </w:tcPr>
          <w:p>
            <w:pPr>
              <w:spacing w:before="327" w:line="360" w:lineRule="auto"/>
              <w:ind w:left="212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≥32学时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993" w:type="dxa"/>
          </w:tcPr>
          <w:p>
            <w:pPr>
              <w:spacing w:before="278" w:line="360" w:lineRule="auto"/>
              <w:ind w:left="166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入党积极分子</w:t>
            </w:r>
          </w:p>
        </w:tc>
        <w:tc>
          <w:tcPr>
            <w:tcW w:w="1181" w:type="dxa"/>
          </w:tcPr>
          <w:p>
            <w:pPr>
              <w:spacing w:before="277" w:line="360" w:lineRule="auto"/>
              <w:ind w:left="159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16学时</w:t>
            </w:r>
          </w:p>
        </w:tc>
        <w:tc>
          <w:tcPr>
            <w:tcW w:w="1187" w:type="dxa"/>
          </w:tcPr>
          <w:p>
            <w:pPr>
              <w:spacing w:before="277" w:line="360" w:lineRule="auto"/>
              <w:ind w:left="540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/</w:t>
            </w:r>
          </w:p>
        </w:tc>
        <w:tc>
          <w:tcPr>
            <w:tcW w:w="1473" w:type="dxa"/>
          </w:tcPr>
          <w:p>
            <w:pPr>
              <w:spacing w:before="276" w:line="360" w:lineRule="auto"/>
              <w:ind w:left="234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自主安排</w:t>
            </w:r>
          </w:p>
        </w:tc>
        <w:tc>
          <w:tcPr>
            <w:tcW w:w="1476" w:type="dxa"/>
          </w:tcPr>
          <w:p>
            <w:pPr>
              <w:spacing w:before="277" w:line="360" w:lineRule="auto"/>
              <w:ind w:left="281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≥8学时</w:t>
            </w:r>
          </w:p>
        </w:tc>
        <w:tc>
          <w:tcPr>
            <w:tcW w:w="1477" w:type="dxa"/>
          </w:tcPr>
          <w:p>
            <w:pPr>
              <w:spacing w:before="277" w:line="360" w:lineRule="auto"/>
              <w:ind w:left="212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≥24学时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993" w:type="dxa"/>
          </w:tcPr>
          <w:p>
            <w:pPr>
              <w:spacing w:before="276" w:line="360" w:lineRule="auto"/>
              <w:ind w:left="308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入党申请人</w:t>
            </w:r>
          </w:p>
        </w:tc>
        <w:tc>
          <w:tcPr>
            <w:tcW w:w="1181" w:type="dxa"/>
          </w:tcPr>
          <w:p>
            <w:pPr>
              <w:spacing w:before="276" w:line="360" w:lineRule="auto"/>
              <w:ind w:left="536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/</w:t>
            </w:r>
          </w:p>
        </w:tc>
        <w:tc>
          <w:tcPr>
            <w:tcW w:w="1187" w:type="dxa"/>
          </w:tcPr>
          <w:p>
            <w:pPr>
              <w:spacing w:before="276" w:line="360" w:lineRule="auto"/>
              <w:ind w:left="540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/</w:t>
            </w:r>
          </w:p>
        </w:tc>
        <w:tc>
          <w:tcPr>
            <w:tcW w:w="1473" w:type="dxa"/>
          </w:tcPr>
          <w:p>
            <w:pPr>
              <w:spacing w:before="275" w:line="360" w:lineRule="auto"/>
              <w:ind w:left="277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≥8学时</w:t>
            </w:r>
          </w:p>
        </w:tc>
        <w:tc>
          <w:tcPr>
            <w:tcW w:w="1476" w:type="dxa"/>
          </w:tcPr>
          <w:p>
            <w:pPr>
              <w:spacing w:before="275" w:line="360" w:lineRule="auto"/>
              <w:ind w:left="281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≥8学时</w:t>
            </w:r>
          </w:p>
        </w:tc>
        <w:tc>
          <w:tcPr>
            <w:tcW w:w="1477" w:type="dxa"/>
          </w:tcPr>
          <w:p>
            <w:pPr>
              <w:spacing w:before="275" w:line="360" w:lineRule="auto"/>
              <w:ind w:left="212"/>
              <w:rPr>
                <w:rFonts w:ascii="仿宋_GB2312" w:hAnsi="宋体" w:eastAsia="仿宋_GB2312"/>
                <w:kern w:val="0"/>
                <w:sz w:val="24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8"/>
              </w:rPr>
              <w:t>≥16学时</w:t>
            </w:r>
          </w:p>
        </w:tc>
      </w:tr>
    </w:tbl>
    <w:p>
      <w:pPr>
        <w:spacing w:line="0" w:lineRule="atLeast"/>
        <w:ind w:left="11" w:right="85" w:firstLine="480" w:firstLineChars="200"/>
        <w:rPr>
          <w:rFonts w:ascii="仿宋_GB2312" w:hAnsi="宋体" w:eastAsia="仿宋_GB2312"/>
          <w:kern w:val="0"/>
          <w:sz w:val="24"/>
          <w:szCs w:val="28"/>
        </w:rPr>
      </w:pPr>
      <w:r>
        <w:rPr>
          <w:rFonts w:hint="eastAsia" w:ascii="仿宋_GB2312" w:hAnsi="宋体" w:eastAsia="仿宋_GB2312"/>
          <w:kern w:val="0"/>
          <w:sz w:val="24"/>
          <w:szCs w:val="28"/>
        </w:rPr>
        <w:t>注：1.半天按4学时计算；</w:t>
      </w:r>
    </w:p>
    <w:p>
      <w:pPr>
        <w:spacing w:line="0" w:lineRule="atLeast"/>
        <w:ind w:left="11" w:right="85" w:firstLine="960" w:firstLineChars="400"/>
        <w:rPr>
          <w:rFonts w:ascii="仿宋_GB2312" w:hAnsi="宋体" w:eastAsia="仿宋_GB2312"/>
          <w:kern w:val="0"/>
          <w:sz w:val="24"/>
          <w:szCs w:val="28"/>
        </w:rPr>
      </w:pPr>
      <w:r>
        <w:rPr>
          <w:rFonts w:hint="eastAsia" w:ascii="仿宋_GB2312" w:hAnsi="宋体" w:eastAsia="仿宋_GB2312"/>
          <w:kern w:val="0"/>
          <w:sz w:val="24"/>
          <w:szCs w:val="28"/>
        </w:rPr>
        <w:t>2.线下培训包含讲座、研讨、社会实践锻炼等。</w:t>
      </w:r>
    </w:p>
    <w:p>
      <w:pPr>
        <w:spacing w:line="0" w:lineRule="atLeast"/>
        <w:ind w:right="86"/>
        <w:rPr>
          <w:rFonts w:hint="eastAsia" w:ascii="仿宋_GB2312" w:hAnsi="宋体" w:eastAsia="仿宋_GB2312"/>
          <w:b/>
          <w:bCs/>
          <w:kern w:val="0"/>
          <w:sz w:val="30"/>
          <w:szCs w:val="30"/>
        </w:rPr>
      </w:pPr>
    </w:p>
    <w:p>
      <w:pPr>
        <w:numPr>
          <w:ilvl w:val="0"/>
          <w:numId w:val="0"/>
        </w:numPr>
        <w:spacing w:line="0" w:lineRule="atLeast"/>
        <w:ind w:right="86" w:rightChars="0"/>
        <w:rPr>
          <w:rFonts w:hint="eastAsia" w:ascii="仿宋_GB2312" w:hAnsi="宋体" w:eastAsia="仿宋_GB2312"/>
          <w:b/>
          <w:bCs/>
          <w:kern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t>四、考核办法</w:t>
      </w:r>
    </w:p>
    <w:p>
      <w:pPr>
        <w:spacing w:line="240" w:lineRule="auto"/>
        <w:ind w:left="13" w:right="86" w:firstLine="560" w:firstLineChars="200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分党校培训对象要严格遵守学习纪律，不迟到，不旷课，认真听课，积极讨论，按规定完成相应的学习任务。分党校坚持考察、考评、考试相结合的考核原则，全面考察学员的学习态度、学习成绩、思想政治素质和日常表现，对学员的学习做出综合评价。</w:t>
      </w:r>
    </w:p>
    <w:p>
      <w:pPr>
        <w:spacing w:line="240" w:lineRule="auto"/>
        <w:ind w:left="13" w:right="86" w:firstLine="560" w:firstLineChars="200"/>
        <w:rPr>
          <w:rFonts w:hint="eastAsia" w:ascii="仿宋_GB2312" w:hAnsi="宋体" w:eastAsia="仿宋_GB2312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分党校按照培训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安排</w:t>
      </w:r>
      <w:r>
        <w:rPr>
          <w:rFonts w:hint="eastAsia" w:ascii="仿宋_GB2312" w:hAnsi="宋体" w:eastAsia="仿宋_GB2312"/>
          <w:kern w:val="0"/>
          <w:sz w:val="28"/>
          <w:szCs w:val="28"/>
        </w:rPr>
        <w:t>组织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培训对象</w:t>
      </w:r>
      <w:r>
        <w:rPr>
          <w:rFonts w:hint="eastAsia" w:ascii="仿宋_GB2312" w:hAnsi="宋体" w:eastAsia="仿宋_GB2312"/>
          <w:kern w:val="0"/>
          <w:sz w:val="28"/>
          <w:szCs w:val="28"/>
        </w:rPr>
        <w:t>学习期满考核，根据考核情况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确定</w:t>
      </w:r>
      <w:r>
        <w:rPr>
          <w:rFonts w:hint="eastAsia" w:ascii="仿宋_GB2312" w:hAnsi="宋体" w:eastAsia="仿宋_GB2312"/>
          <w:kern w:val="0"/>
          <w:sz w:val="28"/>
          <w:szCs w:val="28"/>
        </w:rPr>
        <w:t>结业学员名单</w:t>
      </w:r>
      <w:r>
        <w:rPr>
          <w:rFonts w:hint="eastAsia" w:ascii="仿宋_GB2312" w:hAnsi="宋体" w:eastAsia="仿宋_GB2312"/>
          <w:kern w:val="0"/>
          <w:sz w:val="28"/>
          <w:szCs w:val="28"/>
          <w:lang w:eastAsia="zh-CN"/>
        </w:rPr>
        <w:t>。</w:t>
      </w:r>
    </w:p>
    <w:p>
      <w:pPr>
        <w:widowControl w:val="0"/>
        <w:numPr>
          <w:ilvl w:val="0"/>
          <w:numId w:val="0"/>
        </w:numPr>
        <w:spacing w:line="240" w:lineRule="auto"/>
        <w:jc w:val="both"/>
        <w:rPr>
          <w:rFonts w:hint="default" w:ascii="仿宋_GB2312" w:hAnsi="宋体" w:eastAsia="仿宋_GB2312"/>
          <w:b w:val="0"/>
          <w:bCs/>
          <w:kern w:val="0"/>
          <w:sz w:val="30"/>
          <w:szCs w:val="30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spacing w:line="0" w:lineRule="atLeast"/>
        <w:ind w:firstLine="723" w:firstLineChars="300"/>
        <w:jc w:val="both"/>
        <w:rPr>
          <w:rFonts w:hint="default" w:ascii="仿宋_GB2312" w:hAnsi="宋体" w:eastAsia="仿宋_GB2312"/>
          <w:b/>
          <w:bCs w:val="0"/>
          <w:kern w:val="0"/>
          <w:sz w:val="24"/>
          <w:szCs w:val="24"/>
          <w:lang w:val="en-US" w:eastAsia="zh-CN"/>
        </w:rPr>
      </w:pPr>
    </w:p>
    <w:p>
      <w:pPr>
        <w:spacing w:line="0" w:lineRule="atLeast"/>
        <w:rPr>
          <w:rFonts w:hint="eastAsia" w:ascii="黑体" w:hAnsi="黑体" w:eastAsia="黑体" w:cs="黑体"/>
          <w:b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kern w:val="0"/>
          <w:sz w:val="28"/>
          <w:szCs w:val="28"/>
          <w:lang w:val="en-US" w:eastAsia="zh-CN"/>
        </w:rPr>
        <w:t>五、附则</w:t>
      </w:r>
    </w:p>
    <w:p>
      <w:pPr>
        <w:widowControl w:val="0"/>
        <w:numPr>
          <w:ilvl w:val="0"/>
          <w:numId w:val="0"/>
        </w:numPr>
        <w:spacing w:line="240" w:lineRule="auto"/>
        <w:ind w:firstLine="840" w:firstLineChars="300"/>
        <w:jc w:val="both"/>
        <w:rPr>
          <w:rFonts w:hint="eastAsia" w:ascii="仿宋_GB2312" w:hAnsi="宋体" w:eastAsia="仿宋_GB2312"/>
          <w:b w:val="0"/>
          <w:bCs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本方案自发布之日起施行，由城市经济与公共管理学院党委负责解释。</w:t>
      </w:r>
    </w:p>
    <w:p>
      <w:pPr>
        <w:spacing w:line="0" w:lineRule="atLeast"/>
        <w:ind w:left="13" w:right="86" w:firstLine="480" w:firstLineChars="200"/>
        <w:rPr>
          <w:rFonts w:ascii="仿宋_GB2312" w:hAnsi="宋体" w:eastAsia="仿宋_GB2312"/>
          <w:kern w:val="0"/>
          <w:sz w:val="24"/>
          <w:szCs w:val="28"/>
        </w:rPr>
      </w:pPr>
    </w:p>
    <w:p>
      <w:pPr>
        <w:spacing w:line="0" w:lineRule="atLeast"/>
        <w:ind w:left="13" w:right="86" w:firstLine="480" w:firstLineChars="200"/>
        <w:jc w:val="right"/>
        <w:rPr>
          <w:rFonts w:ascii="仿宋_GB2312" w:hAnsi="宋体" w:eastAsia="仿宋_GB2312"/>
          <w:kern w:val="0"/>
          <w:sz w:val="24"/>
          <w:szCs w:val="28"/>
        </w:rPr>
      </w:pPr>
    </w:p>
    <w:p>
      <w:pPr>
        <w:spacing w:line="0" w:lineRule="atLeast"/>
        <w:ind w:left="13" w:right="86" w:firstLine="480" w:firstLineChars="200"/>
        <w:jc w:val="right"/>
        <w:rPr>
          <w:rFonts w:ascii="仿宋_GB2312" w:hAnsi="宋体" w:eastAsia="仿宋_GB2312"/>
          <w:kern w:val="0"/>
          <w:sz w:val="24"/>
          <w:szCs w:val="28"/>
        </w:rPr>
      </w:pPr>
    </w:p>
    <w:p>
      <w:pPr>
        <w:spacing w:line="0" w:lineRule="atLeast"/>
        <w:ind w:left="13" w:right="86" w:firstLine="480" w:firstLineChars="200"/>
        <w:jc w:val="right"/>
        <w:rPr>
          <w:rFonts w:ascii="仿宋_GB2312" w:hAnsi="宋体" w:eastAsia="仿宋_GB2312"/>
          <w:kern w:val="0"/>
          <w:sz w:val="24"/>
          <w:szCs w:val="28"/>
        </w:rPr>
      </w:pPr>
    </w:p>
    <w:p>
      <w:pPr>
        <w:widowControl w:val="0"/>
        <w:numPr>
          <w:ilvl w:val="0"/>
          <w:numId w:val="0"/>
        </w:numPr>
        <w:spacing w:line="240" w:lineRule="auto"/>
        <w:ind w:firstLine="840" w:firstLineChars="300"/>
        <w:jc w:val="right"/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中共首都经济贸易大学</w:t>
      </w:r>
    </w:p>
    <w:p>
      <w:pPr>
        <w:widowControl w:val="0"/>
        <w:numPr>
          <w:ilvl w:val="0"/>
          <w:numId w:val="0"/>
        </w:numPr>
        <w:spacing w:line="240" w:lineRule="auto"/>
        <w:ind w:firstLine="840" w:firstLineChars="300"/>
        <w:jc w:val="right"/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城市经济与公共管理学院委员会</w:t>
      </w:r>
    </w:p>
    <w:p>
      <w:pPr>
        <w:widowControl w:val="0"/>
        <w:numPr>
          <w:ilvl w:val="0"/>
          <w:numId w:val="0"/>
        </w:numPr>
        <w:spacing w:line="240" w:lineRule="auto"/>
        <w:ind w:firstLine="840" w:firstLineChars="300"/>
        <w:jc w:val="right"/>
        <w:rPr>
          <w:rFonts w:hint="default" w:ascii="仿宋_GB2312" w:hAnsi="宋体" w:eastAsia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2023年3月</w:t>
      </w:r>
    </w:p>
    <w:p>
      <w:pPr>
        <w:widowControl w:val="0"/>
        <w:numPr>
          <w:ilvl w:val="0"/>
          <w:numId w:val="0"/>
        </w:numPr>
        <w:spacing w:line="240" w:lineRule="auto"/>
        <w:ind w:firstLine="840" w:firstLineChars="300"/>
        <w:jc w:val="right"/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lMWZiYmJjOTMyM2YyMDYyZmJhNjg1MWE3MmUyMTEifQ=="/>
  </w:docVars>
  <w:rsids>
    <w:rsidRoot w:val="00E02DBB"/>
    <w:rsid w:val="0000418E"/>
    <w:rsid w:val="001D2BB4"/>
    <w:rsid w:val="00225378"/>
    <w:rsid w:val="002A7A59"/>
    <w:rsid w:val="00404DF0"/>
    <w:rsid w:val="00412ECA"/>
    <w:rsid w:val="00413F3A"/>
    <w:rsid w:val="00603997"/>
    <w:rsid w:val="007852E5"/>
    <w:rsid w:val="00866E3A"/>
    <w:rsid w:val="00A42BBA"/>
    <w:rsid w:val="00D35FFA"/>
    <w:rsid w:val="00DB6D67"/>
    <w:rsid w:val="00E02DBB"/>
    <w:rsid w:val="00F071FA"/>
    <w:rsid w:val="010F7FF3"/>
    <w:rsid w:val="05322AAB"/>
    <w:rsid w:val="15AB599C"/>
    <w:rsid w:val="1E7A1067"/>
    <w:rsid w:val="239A24B5"/>
    <w:rsid w:val="25AA7CB8"/>
    <w:rsid w:val="2AFE7209"/>
    <w:rsid w:val="2C765A8C"/>
    <w:rsid w:val="30FF0304"/>
    <w:rsid w:val="3A2A17DF"/>
    <w:rsid w:val="3BC659E2"/>
    <w:rsid w:val="46E278A8"/>
    <w:rsid w:val="48F779D2"/>
    <w:rsid w:val="499E6F93"/>
    <w:rsid w:val="4AF15640"/>
    <w:rsid w:val="514B11CA"/>
    <w:rsid w:val="55E62FE8"/>
    <w:rsid w:val="5CA674E2"/>
    <w:rsid w:val="5D1D70A6"/>
    <w:rsid w:val="692A225A"/>
    <w:rsid w:val="6C756C74"/>
    <w:rsid w:val="6D213692"/>
    <w:rsid w:val="724C122A"/>
    <w:rsid w:val="7AEE17EE"/>
    <w:rsid w:val="7B4C1091"/>
    <w:rsid w:val="7F12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">
    <w:name w:val="一级标题"/>
    <w:basedOn w:val="1"/>
    <w:link w:val="8"/>
    <w:qFormat/>
    <w:uiPriority w:val="0"/>
    <w:pPr>
      <w:spacing w:line="360" w:lineRule="auto"/>
      <w:ind w:firstLine="482" w:firstLineChars="200"/>
      <w:jc w:val="left"/>
    </w:pPr>
    <w:rPr>
      <w:rFonts w:ascii="宋体" w:hAnsi="宋体" w:eastAsia="黑体" w:cs="宋体"/>
      <w:b/>
      <w:sz w:val="32"/>
      <w:szCs w:val="24"/>
    </w:rPr>
  </w:style>
  <w:style w:type="character" w:customStyle="1" w:styleId="8">
    <w:name w:val="一级标题 字符"/>
    <w:basedOn w:val="6"/>
    <w:link w:val="7"/>
    <w:qFormat/>
    <w:uiPriority w:val="0"/>
    <w:rPr>
      <w:rFonts w:ascii="宋体" w:hAnsi="宋体" w:eastAsia="黑体" w:cs="宋体"/>
      <w:b/>
      <w:sz w:val="32"/>
      <w:szCs w:val="24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11">
    <w:name w:val="Table Normal"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1541</Words>
  <Characters>1561</Characters>
  <Lines>12</Lines>
  <Paragraphs>3</Paragraphs>
  <TotalTime>36</TotalTime>
  <ScaleCrop>false</ScaleCrop>
  <LinksUpToDate>false</LinksUpToDate>
  <CharactersWithSpaces>1561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2022-11-02T02:39:00Z</dcterms:created>
  <dc:creator>孙 淦</dc:creator>
  <cp:lastModifiedBy>sungan</cp:lastModifiedBy>
  <dcterms:modified xsi:type="dcterms:W3CDTF">2023-03-15T02:00:44Z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393CB19AD31044CF874E857FCC977A48</vt:lpwstr>
  </property>
</Properties>
</file>